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00542" w14:textId="77777777" w:rsidR="006F2DA4" w:rsidRPr="006F2DA4" w:rsidRDefault="006F2DA4" w:rsidP="006F2DA4">
      <w:pPr>
        <w:jc w:val="center"/>
        <w:rPr>
          <w:rFonts w:ascii="Times New Roman" w:hAnsi="Times New Roman" w:cs="Times New Roman"/>
        </w:rPr>
      </w:pPr>
      <w:r w:rsidRPr="006F2DA4">
        <w:rPr>
          <w:rFonts w:ascii="Times New Roman" w:hAnsi="Times New Roman" w:cs="Times New Roman"/>
          <w:b/>
          <w:bCs/>
        </w:rPr>
        <w:t>PRESS RELEASE</w:t>
      </w:r>
    </w:p>
    <w:p w14:paraId="2CD67C9C" w14:textId="77777777" w:rsidR="006F2DA4" w:rsidRDefault="006F2DA4" w:rsidP="006F2DA4">
      <w:pPr>
        <w:jc w:val="center"/>
        <w:rPr>
          <w:rFonts w:ascii="Times New Roman" w:hAnsi="Times New Roman" w:cs="Times New Roman"/>
          <w:b/>
          <w:bCs/>
        </w:rPr>
      </w:pPr>
      <w:r w:rsidRPr="006F2DA4">
        <w:rPr>
          <w:rFonts w:ascii="Times New Roman" w:hAnsi="Times New Roman" w:cs="Times New Roman"/>
          <w:b/>
          <w:bCs/>
        </w:rPr>
        <w:t>BY THE PRESIDENT OF THE CONSTITUTIONAL COURT,</w:t>
      </w:r>
      <w:r w:rsidRPr="006F2DA4">
        <w:rPr>
          <w:rFonts w:ascii="Times New Roman" w:hAnsi="Times New Roman" w:cs="Times New Roman"/>
          <w:b/>
          <w:bCs/>
        </w:rPr>
        <w:br/>
        <w:t>MS. HOLTA ZAÇAJ</w:t>
      </w:r>
    </w:p>
    <w:p w14:paraId="7537B86A" w14:textId="77777777" w:rsidR="006F2DA4" w:rsidRPr="006F2DA4" w:rsidRDefault="006F2DA4" w:rsidP="006F2DA4">
      <w:pPr>
        <w:jc w:val="center"/>
        <w:rPr>
          <w:rFonts w:ascii="Times New Roman" w:hAnsi="Times New Roman" w:cs="Times New Roman"/>
        </w:rPr>
      </w:pPr>
    </w:p>
    <w:p w14:paraId="3B773906" w14:textId="2C38DA5A" w:rsidR="006F2DA4" w:rsidRPr="006F2DA4" w:rsidRDefault="006F2DA4" w:rsidP="006F2DA4">
      <w:pPr>
        <w:rPr>
          <w:rFonts w:ascii="Times New Roman" w:hAnsi="Times New Roman" w:cs="Times New Roman"/>
        </w:rPr>
      </w:pPr>
      <w:r w:rsidRPr="006F2DA4">
        <w:rPr>
          <w:rFonts w:ascii="Times New Roman" w:hAnsi="Times New Roman" w:cs="Times New Roman"/>
        </w:rPr>
        <w:t>At the conclusion of my mandate as judge and, simultaneously, as President of the Constitutional Court, I wish to share with the public some reflections on the work and achievements of this Court during the three years in which I had the privilege, responsibility, and satisfaction of exercising this constitutional function. Th</w:t>
      </w:r>
      <w:r>
        <w:rPr>
          <w:rFonts w:ascii="Times New Roman" w:hAnsi="Times New Roman" w:cs="Times New Roman"/>
        </w:rPr>
        <w:t xml:space="preserve">e duration of my mandate somehow </w:t>
      </w:r>
      <w:r w:rsidRPr="006F2DA4">
        <w:rPr>
          <w:rFonts w:ascii="Times New Roman" w:hAnsi="Times New Roman" w:cs="Times New Roman"/>
        </w:rPr>
        <w:t xml:space="preserve">met my expectations for </w:t>
      </w:r>
      <w:r>
        <w:rPr>
          <w:rFonts w:ascii="Times New Roman" w:hAnsi="Times New Roman" w:cs="Times New Roman"/>
        </w:rPr>
        <w:t xml:space="preserve">it and </w:t>
      </w:r>
      <w:r w:rsidRPr="006F2DA4">
        <w:rPr>
          <w:rFonts w:ascii="Times New Roman" w:hAnsi="Times New Roman" w:cs="Times New Roman"/>
        </w:rPr>
        <w:t>allowed me to realize my vision for the administration and leadership of the Constitutional Court.</w:t>
      </w:r>
    </w:p>
    <w:p w14:paraId="67D3788A" w14:textId="77777777" w:rsidR="006F2DA4" w:rsidRPr="006F2DA4" w:rsidRDefault="006F2DA4" w:rsidP="006F2DA4">
      <w:pPr>
        <w:rPr>
          <w:rFonts w:ascii="Times New Roman" w:hAnsi="Times New Roman" w:cs="Times New Roman"/>
        </w:rPr>
      </w:pPr>
      <w:r w:rsidRPr="006F2DA4">
        <w:rPr>
          <w:rFonts w:ascii="Times New Roman" w:hAnsi="Times New Roman" w:cs="Times New Roman"/>
        </w:rPr>
        <w:t>The year 2025 closed with one of the most important challenges for the institution: the issue of the duration of constitutional judges’ mandates. As long as the mandate of a constitutional judge is closely connected to the independence of the judge and of the Court itself, uncertainties in this regard affect both the systemic functioning of the institution and the personal standing of the judges. In this context, I believe I contributed in a manner that goes beyond personal considerations, regardless of any differing interpretations.</w:t>
      </w:r>
    </w:p>
    <w:p w14:paraId="36C42C69" w14:textId="388B8AC2" w:rsidR="006F2DA4" w:rsidRPr="006F2DA4" w:rsidRDefault="006F2DA4" w:rsidP="006F2DA4">
      <w:pPr>
        <w:rPr>
          <w:rFonts w:ascii="Times New Roman" w:hAnsi="Times New Roman" w:cs="Times New Roman"/>
        </w:rPr>
      </w:pPr>
      <w:r w:rsidRPr="006F2DA4">
        <w:rPr>
          <w:rFonts w:ascii="Times New Roman" w:hAnsi="Times New Roman" w:cs="Times New Roman"/>
        </w:rPr>
        <w:t>During the period 2023–2025, the Constitutional Court faced decision-making of particular importance, reaffirming once again its indispensable role as the guarantor of the Constitution. The panel of judges worked with dedication, handling a record number of cases, which in the last three years increased by 35–40%, reaching up to around 400 cases reviewed per year, of which a considerable number</w:t>
      </w:r>
      <w:r>
        <w:rPr>
          <w:rFonts w:ascii="Times New Roman" w:hAnsi="Times New Roman" w:cs="Times New Roman"/>
        </w:rPr>
        <w:t xml:space="preserve">, </w:t>
      </w:r>
      <w:r w:rsidRPr="006F2DA4">
        <w:rPr>
          <w:rFonts w:ascii="Times New Roman" w:hAnsi="Times New Roman" w:cs="Times New Roman"/>
        </w:rPr>
        <w:t>up to 85 cases annually</w:t>
      </w:r>
      <w:r>
        <w:rPr>
          <w:rFonts w:ascii="Times New Roman" w:hAnsi="Times New Roman" w:cs="Times New Roman"/>
        </w:rPr>
        <w:t xml:space="preserve"> </w:t>
      </w:r>
      <w:r w:rsidRPr="006F2DA4">
        <w:rPr>
          <w:rFonts w:ascii="Times New Roman" w:hAnsi="Times New Roman" w:cs="Times New Roman"/>
        </w:rPr>
        <w:t>were concluded with final decisions</w:t>
      </w:r>
      <w:r>
        <w:rPr>
          <w:rFonts w:ascii="Times New Roman" w:hAnsi="Times New Roman" w:cs="Times New Roman"/>
        </w:rPr>
        <w:t xml:space="preserve"> in plenary sessions</w:t>
      </w:r>
      <w:r w:rsidRPr="006F2DA4">
        <w:rPr>
          <w:rFonts w:ascii="Times New Roman" w:hAnsi="Times New Roman" w:cs="Times New Roman"/>
        </w:rPr>
        <w:t>. The Court continued to examine plenary-session cases within an eight-month period, and all other cases within the legal three-month deadline, consistently maintaining zero case backlog.</w:t>
      </w:r>
    </w:p>
    <w:p w14:paraId="1EE88FAA" w14:textId="77777777" w:rsidR="006F2DA4" w:rsidRPr="006F2DA4" w:rsidRDefault="006F2DA4" w:rsidP="006F2DA4">
      <w:pPr>
        <w:rPr>
          <w:rFonts w:ascii="Times New Roman" w:hAnsi="Times New Roman" w:cs="Times New Roman"/>
        </w:rPr>
      </w:pPr>
      <w:r w:rsidRPr="006F2DA4">
        <w:rPr>
          <w:rFonts w:ascii="Times New Roman" w:hAnsi="Times New Roman" w:cs="Times New Roman"/>
        </w:rPr>
        <w:t>I am pleased to observe that these three intensive years have contributed to redefining the role and profile of the Constitutional Court of Albania.</w:t>
      </w:r>
    </w:p>
    <w:p w14:paraId="5F3B3F3C" w14:textId="162C6E28" w:rsidR="006F2DA4" w:rsidRPr="006F2DA4" w:rsidRDefault="006F2DA4" w:rsidP="006F2DA4">
      <w:pPr>
        <w:rPr>
          <w:rFonts w:ascii="Times New Roman" w:hAnsi="Times New Roman" w:cs="Times New Roman"/>
        </w:rPr>
      </w:pPr>
      <w:r w:rsidRPr="006F2DA4">
        <w:rPr>
          <w:rFonts w:ascii="Times New Roman" w:hAnsi="Times New Roman" w:cs="Times New Roman"/>
        </w:rPr>
        <w:t>This period marked several important developments such as:</w:t>
      </w:r>
    </w:p>
    <w:p w14:paraId="66DDCA43" w14:textId="418ABC03" w:rsidR="006F2DA4" w:rsidRPr="006F2DA4" w:rsidRDefault="006F2DA4" w:rsidP="006F2DA4">
      <w:pPr>
        <w:rPr>
          <w:rFonts w:ascii="Times New Roman" w:hAnsi="Times New Roman" w:cs="Times New Roman"/>
          <w:b/>
          <w:bCs/>
        </w:rPr>
      </w:pPr>
      <w:r w:rsidRPr="006F2DA4">
        <w:rPr>
          <w:rFonts w:ascii="Times New Roman" w:hAnsi="Times New Roman" w:cs="Times New Roman"/>
          <w:b/>
          <w:bCs/>
        </w:rPr>
        <w:t>I. Key Institutional Initiatives</w:t>
      </w:r>
    </w:p>
    <w:p w14:paraId="65A54F3E" w14:textId="77777777" w:rsidR="006F2DA4" w:rsidRPr="006F2DA4" w:rsidRDefault="006F2DA4" w:rsidP="006F2DA4">
      <w:pPr>
        <w:rPr>
          <w:rFonts w:ascii="Times New Roman" w:hAnsi="Times New Roman" w:cs="Times New Roman"/>
        </w:rPr>
      </w:pPr>
      <w:r w:rsidRPr="006F2DA4">
        <w:rPr>
          <w:rFonts w:ascii="Times New Roman" w:hAnsi="Times New Roman" w:cs="Times New Roman"/>
        </w:rPr>
        <w:t>During these three years, initiatives that had been lacking for years were undertaken, which today constitute consolidated practices with long-term impact. Viewing justice as a public service, increasing transparency and access was among the main priorities, and the realization of the following initiatives takes on special significance:</w:t>
      </w:r>
    </w:p>
    <w:p w14:paraId="11DDF4BD" w14:textId="5C09771F" w:rsidR="006F2DA4" w:rsidRPr="006F2DA4" w:rsidRDefault="006F2DA4" w:rsidP="006F2DA4">
      <w:pPr>
        <w:numPr>
          <w:ilvl w:val="0"/>
          <w:numId w:val="2"/>
        </w:numPr>
        <w:rPr>
          <w:rFonts w:ascii="Times New Roman" w:hAnsi="Times New Roman" w:cs="Times New Roman"/>
        </w:rPr>
      </w:pPr>
      <w:r w:rsidRPr="006F2DA4">
        <w:rPr>
          <w:rFonts w:ascii="Times New Roman" w:hAnsi="Times New Roman" w:cs="Times New Roman"/>
          <w:b/>
          <w:bCs/>
        </w:rPr>
        <w:t>Jurisprudence Guides</w:t>
      </w:r>
      <w:r w:rsidRPr="006F2DA4">
        <w:rPr>
          <w:rFonts w:ascii="Times New Roman" w:hAnsi="Times New Roman" w:cs="Times New Roman"/>
        </w:rPr>
        <w:t xml:space="preserve"> – For the first time, the entire jurisprudence of the Constitutional Court was compiled and published. In 202</w:t>
      </w:r>
      <w:r>
        <w:rPr>
          <w:rFonts w:ascii="Times New Roman" w:hAnsi="Times New Roman" w:cs="Times New Roman"/>
        </w:rPr>
        <w:t>4</w:t>
      </w:r>
      <w:r w:rsidRPr="006F2DA4">
        <w:rPr>
          <w:rFonts w:ascii="Times New Roman" w:hAnsi="Times New Roman" w:cs="Times New Roman"/>
        </w:rPr>
        <w:t xml:space="preserve">, the Guide on Individual Constitutional </w:t>
      </w:r>
      <w:r w:rsidRPr="006F2DA4">
        <w:rPr>
          <w:rFonts w:ascii="Times New Roman" w:hAnsi="Times New Roman" w:cs="Times New Roman"/>
        </w:rPr>
        <w:lastRenderedPageBreak/>
        <w:t>Complaints was published, while in 202</w:t>
      </w:r>
      <w:r>
        <w:rPr>
          <w:rFonts w:ascii="Times New Roman" w:hAnsi="Times New Roman" w:cs="Times New Roman"/>
        </w:rPr>
        <w:t>5</w:t>
      </w:r>
      <w:r w:rsidRPr="006F2DA4">
        <w:rPr>
          <w:rFonts w:ascii="Times New Roman" w:hAnsi="Times New Roman" w:cs="Times New Roman"/>
        </w:rPr>
        <w:t xml:space="preserve"> the Guide on Fundamental Principles, Rights, and Freedoms.</w:t>
      </w:r>
    </w:p>
    <w:p w14:paraId="0B02A9C4" w14:textId="2404A7A3" w:rsidR="006F2DA4" w:rsidRPr="006F2DA4" w:rsidRDefault="006F2DA4" w:rsidP="006F2DA4">
      <w:pPr>
        <w:numPr>
          <w:ilvl w:val="0"/>
          <w:numId w:val="2"/>
        </w:numPr>
        <w:rPr>
          <w:rFonts w:ascii="Times New Roman" w:hAnsi="Times New Roman" w:cs="Times New Roman"/>
        </w:rPr>
      </w:pPr>
      <w:r w:rsidRPr="006F2DA4">
        <w:rPr>
          <w:rFonts w:ascii="Times New Roman" w:hAnsi="Times New Roman" w:cs="Times New Roman"/>
          <w:b/>
          <w:bCs/>
        </w:rPr>
        <w:t>The bimonthly Bulletin of Decisions</w:t>
      </w:r>
      <w:r w:rsidRPr="006F2DA4">
        <w:rPr>
          <w:rFonts w:ascii="Times New Roman" w:hAnsi="Times New Roman" w:cs="Times New Roman"/>
        </w:rPr>
        <w:t xml:space="preserve"> of the Constitutional Court, widely distributed in electronic format in both Albanian and English, with clear and accessible summaries </w:t>
      </w:r>
      <w:r>
        <w:rPr>
          <w:rFonts w:ascii="Times New Roman" w:hAnsi="Times New Roman" w:cs="Times New Roman"/>
        </w:rPr>
        <w:t xml:space="preserve">of the court’s decisions </w:t>
      </w:r>
      <w:r w:rsidRPr="006F2DA4">
        <w:rPr>
          <w:rFonts w:ascii="Times New Roman" w:hAnsi="Times New Roman" w:cs="Times New Roman"/>
        </w:rPr>
        <w:t>for legal professionals and the broader public.</w:t>
      </w:r>
    </w:p>
    <w:p w14:paraId="0037730A" w14:textId="77777777" w:rsidR="006F2DA4" w:rsidRPr="006F2DA4" w:rsidRDefault="006F2DA4" w:rsidP="006F2DA4">
      <w:pPr>
        <w:numPr>
          <w:ilvl w:val="0"/>
          <w:numId w:val="2"/>
        </w:numPr>
        <w:rPr>
          <w:rFonts w:ascii="Times New Roman" w:hAnsi="Times New Roman" w:cs="Times New Roman"/>
        </w:rPr>
      </w:pPr>
      <w:r w:rsidRPr="006F2DA4">
        <w:rPr>
          <w:rFonts w:ascii="Times New Roman" w:hAnsi="Times New Roman" w:cs="Times New Roman"/>
          <w:b/>
          <w:bCs/>
        </w:rPr>
        <w:t>“My Constitution”</w:t>
      </w:r>
      <w:r w:rsidRPr="006F2DA4">
        <w:rPr>
          <w:rFonts w:ascii="Times New Roman" w:hAnsi="Times New Roman" w:cs="Times New Roman"/>
        </w:rPr>
        <w:t>, the first explanatory handbook for schoolchildren, written in simple and educational language.</w:t>
      </w:r>
    </w:p>
    <w:p w14:paraId="6A44E7E6" w14:textId="1992D9F3" w:rsidR="006F2DA4" w:rsidRPr="006F2DA4" w:rsidRDefault="006F2DA4" w:rsidP="006F2DA4">
      <w:pPr>
        <w:rPr>
          <w:rFonts w:ascii="Times New Roman" w:hAnsi="Times New Roman" w:cs="Times New Roman"/>
        </w:rPr>
      </w:pPr>
      <w:bookmarkStart w:id="0" w:name="_GoBack"/>
      <w:bookmarkEnd w:id="0"/>
    </w:p>
    <w:p w14:paraId="70815545" w14:textId="025BA3DF" w:rsidR="006F2DA4" w:rsidRPr="006F2DA4" w:rsidRDefault="006F2DA4" w:rsidP="006F2DA4">
      <w:pPr>
        <w:rPr>
          <w:rFonts w:ascii="Times New Roman" w:hAnsi="Times New Roman" w:cs="Times New Roman"/>
          <w:b/>
          <w:bCs/>
        </w:rPr>
      </w:pPr>
      <w:r w:rsidRPr="006F2DA4">
        <w:rPr>
          <w:rFonts w:ascii="Times New Roman" w:hAnsi="Times New Roman" w:cs="Times New Roman"/>
          <w:b/>
          <w:bCs/>
        </w:rPr>
        <w:t>II. Communication with the Public and the Media</w:t>
      </w:r>
    </w:p>
    <w:p w14:paraId="2CB123D1" w14:textId="2F7480E8" w:rsidR="006F2DA4" w:rsidRPr="006F2DA4" w:rsidRDefault="006F2DA4" w:rsidP="006F2DA4">
      <w:pPr>
        <w:rPr>
          <w:rFonts w:ascii="Times New Roman" w:hAnsi="Times New Roman" w:cs="Times New Roman"/>
        </w:rPr>
      </w:pPr>
      <w:r w:rsidRPr="006F2DA4">
        <w:rPr>
          <w:rFonts w:ascii="Times New Roman" w:hAnsi="Times New Roman" w:cs="Times New Roman"/>
        </w:rPr>
        <w:t xml:space="preserve">To strengthen transparency and public information, since 2023 the Constitutional Court has implemented new practices of </w:t>
      </w:r>
      <w:r>
        <w:rPr>
          <w:rFonts w:ascii="Times New Roman" w:hAnsi="Times New Roman" w:cs="Times New Roman"/>
        </w:rPr>
        <w:t>transparency</w:t>
      </w:r>
      <w:r w:rsidRPr="006F2DA4">
        <w:rPr>
          <w:rFonts w:ascii="Times New Roman" w:hAnsi="Times New Roman" w:cs="Times New Roman"/>
        </w:rPr>
        <w:t xml:space="preserve"> and public communication through the following instruments:</w:t>
      </w:r>
    </w:p>
    <w:p w14:paraId="22B7C432" w14:textId="09B62856" w:rsidR="006F2DA4" w:rsidRPr="006F2DA4" w:rsidRDefault="006F2DA4" w:rsidP="006F2DA4">
      <w:pPr>
        <w:numPr>
          <w:ilvl w:val="0"/>
          <w:numId w:val="3"/>
        </w:numPr>
        <w:rPr>
          <w:rFonts w:ascii="Times New Roman" w:hAnsi="Times New Roman" w:cs="Times New Roman"/>
        </w:rPr>
      </w:pPr>
      <w:r w:rsidRPr="006F2DA4">
        <w:rPr>
          <w:rFonts w:ascii="Times New Roman" w:hAnsi="Times New Roman" w:cs="Times New Roman"/>
        </w:rPr>
        <w:t xml:space="preserve">Press conferences of the President of the Court on the same day </w:t>
      </w:r>
      <w:r>
        <w:rPr>
          <w:rFonts w:ascii="Times New Roman" w:hAnsi="Times New Roman" w:cs="Times New Roman"/>
        </w:rPr>
        <w:t>of</w:t>
      </w:r>
      <w:r w:rsidRPr="006F2DA4">
        <w:rPr>
          <w:rFonts w:ascii="Times New Roman" w:hAnsi="Times New Roman" w:cs="Times New Roman"/>
        </w:rPr>
        <w:t xml:space="preserve"> decisions</w:t>
      </w:r>
      <w:r>
        <w:rPr>
          <w:rFonts w:ascii="Times New Roman" w:hAnsi="Times New Roman" w:cs="Times New Roman"/>
        </w:rPr>
        <w:t xml:space="preserve"> deliberations</w:t>
      </w:r>
      <w:r w:rsidRPr="006F2DA4">
        <w:rPr>
          <w:rFonts w:ascii="Times New Roman" w:hAnsi="Times New Roman" w:cs="Times New Roman"/>
        </w:rPr>
        <w:t xml:space="preserve"> in cases of high public interest, accompanied by press releases that included key reasoning of the decisions.</w:t>
      </w:r>
    </w:p>
    <w:p w14:paraId="7EEE7FA3" w14:textId="77777777" w:rsidR="006F2DA4" w:rsidRPr="006F2DA4" w:rsidRDefault="006F2DA4" w:rsidP="006F2DA4">
      <w:pPr>
        <w:numPr>
          <w:ilvl w:val="0"/>
          <w:numId w:val="3"/>
        </w:numPr>
        <w:rPr>
          <w:rFonts w:ascii="Times New Roman" w:hAnsi="Times New Roman" w:cs="Times New Roman"/>
        </w:rPr>
      </w:pPr>
      <w:r w:rsidRPr="006F2DA4">
        <w:rPr>
          <w:rFonts w:ascii="Times New Roman" w:hAnsi="Times New Roman" w:cs="Times New Roman"/>
        </w:rPr>
        <w:t>Annual reports on the judicial and administrative activity of the Court.</w:t>
      </w:r>
    </w:p>
    <w:p w14:paraId="1EA38960" w14:textId="77777777" w:rsidR="006F2DA4" w:rsidRPr="006F2DA4" w:rsidRDefault="006F2DA4" w:rsidP="006F2DA4">
      <w:pPr>
        <w:numPr>
          <w:ilvl w:val="0"/>
          <w:numId w:val="3"/>
        </w:numPr>
        <w:rPr>
          <w:rFonts w:ascii="Times New Roman" w:hAnsi="Times New Roman" w:cs="Times New Roman"/>
        </w:rPr>
      </w:pPr>
      <w:r w:rsidRPr="006F2DA4">
        <w:rPr>
          <w:rFonts w:ascii="Times New Roman" w:hAnsi="Times New Roman" w:cs="Times New Roman"/>
        </w:rPr>
        <w:t>Live broadcasting of public plenary sessions.</w:t>
      </w:r>
    </w:p>
    <w:p w14:paraId="02D9F6C7" w14:textId="176D4DF3" w:rsidR="006F2DA4" w:rsidRPr="006F2DA4" w:rsidRDefault="006F2DA4" w:rsidP="006F2DA4">
      <w:pPr>
        <w:numPr>
          <w:ilvl w:val="0"/>
          <w:numId w:val="3"/>
        </w:numPr>
        <w:rPr>
          <w:rFonts w:ascii="Times New Roman" w:hAnsi="Times New Roman" w:cs="Times New Roman"/>
        </w:rPr>
      </w:pPr>
      <w:r w:rsidRPr="006F2DA4">
        <w:rPr>
          <w:rFonts w:ascii="Times New Roman" w:hAnsi="Times New Roman" w:cs="Times New Roman"/>
        </w:rPr>
        <w:t>Publication of case</w:t>
      </w:r>
      <w:r>
        <w:rPr>
          <w:rFonts w:ascii="Times New Roman" w:hAnsi="Times New Roman" w:cs="Times New Roman"/>
        </w:rPr>
        <w:t xml:space="preserve"> assignment</w:t>
      </w:r>
      <w:r w:rsidRPr="006F2DA4">
        <w:rPr>
          <w:rFonts w:ascii="Times New Roman" w:hAnsi="Times New Roman" w:cs="Times New Roman"/>
        </w:rPr>
        <w:t xml:space="preserve"> information, as well as the decisions of the Panels</w:t>
      </w:r>
      <w:r>
        <w:rPr>
          <w:rFonts w:ascii="Times New Roman" w:hAnsi="Times New Roman" w:cs="Times New Roman"/>
        </w:rPr>
        <w:t xml:space="preserve"> or Meeting of Judges</w:t>
      </w:r>
      <w:r w:rsidRPr="006F2DA4">
        <w:rPr>
          <w:rFonts w:ascii="Times New Roman" w:hAnsi="Times New Roman" w:cs="Times New Roman"/>
        </w:rPr>
        <w:t>, on the official website of the Court.</w:t>
      </w:r>
    </w:p>
    <w:p w14:paraId="7EDCEE08" w14:textId="77777777" w:rsidR="006F2DA4" w:rsidRPr="006F2DA4" w:rsidRDefault="006F2DA4" w:rsidP="006F2DA4">
      <w:pPr>
        <w:numPr>
          <w:ilvl w:val="0"/>
          <w:numId w:val="3"/>
        </w:numPr>
        <w:rPr>
          <w:rFonts w:ascii="Times New Roman" w:hAnsi="Times New Roman" w:cs="Times New Roman"/>
        </w:rPr>
      </w:pPr>
      <w:r w:rsidRPr="006F2DA4">
        <w:rPr>
          <w:rFonts w:ascii="Times New Roman" w:hAnsi="Times New Roman" w:cs="Times New Roman"/>
        </w:rPr>
        <w:t>Increased presence on social media through verified and accessible information for the public.</w:t>
      </w:r>
    </w:p>
    <w:p w14:paraId="7CA49C85" w14:textId="103136D8" w:rsidR="006F2DA4" w:rsidRPr="006F2DA4" w:rsidRDefault="006F2DA4" w:rsidP="006F2DA4">
      <w:pPr>
        <w:numPr>
          <w:ilvl w:val="0"/>
          <w:numId w:val="3"/>
        </w:numPr>
        <w:rPr>
          <w:rFonts w:ascii="Times New Roman" w:hAnsi="Times New Roman" w:cs="Times New Roman"/>
        </w:rPr>
      </w:pPr>
      <w:r w:rsidRPr="006F2DA4">
        <w:rPr>
          <w:rFonts w:ascii="Times New Roman" w:hAnsi="Times New Roman" w:cs="Times New Roman"/>
        </w:rPr>
        <w:t>The new official website of the Court, designed with a modern</w:t>
      </w:r>
      <w:r>
        <w:rPr>
          <w:rFonts w:ascii="Times New Roman" w:hAnsi="Times New Roman" w:cs="Times New Roman"/>
        </w:rPr>
        <w:t xml:space="preserve"> and </w:t>
      </w:r>
      <w:proofErr w:type="spellStart"/>
      <w:r>
        <w:rPr>
          <w:rFonts w:ascii="Times New Roman" w:hAnsi="Times New Roman" w:cs="Times New Roman"/>
        </w:rPr>
        <w:t>firnedly</w:t>
      </w:r>
      <w:proofErr w:type="spellEnd"/>
      <w:r>
        <w:rPr>
          <w:rFonts w:ascii="Times New Roman" w:hAnsi="Times New Roman" w:cs="Times New Roman"/>
        </w:rPr>
        <w:t>-user</w:t>
      </w:r>
      <w:r w:rsidRPr="006F2DA4">
        <w:rPr>
          <w:rFonts w:ascii="Times New Roman" w:hAnsi="Times New Roman" w:cs="Times New Roman"/>
        </w:rPr>
        <w:t xml:space="preserve"> layout and more organized structure.</w:t>
      </w:r>
    </w:p>
    <w:p w14:paraId="52159593" w14:textId="77777777" w:rsidR="006F2DA4" w:rsidRPr="006F2DA4" w:rsidRDefault="006F2DA4" w:rsidP="006F2DA4">
      <w:pPr>
        <w:numPr>
          <w:ilvl w:val="0"/>
          <w:numId w:val="3"/>
        </w:numPr>
        <w:rPr>
          <w:rFonts w:ascii="Times New Roman" w:hAnsi="Times New Roman" w:cs="Times New Roman"/>
        </w:rPr>
      </w:pPr>
      <w:r w:rsidRPr="006F2DA4">
        <w:rPr>
          <w:rFonts w:ascii="Times New Roman" w:hAnsi="Times New Roman" w:cs="Times New Roman"/>
        </w:rPr>
        <w:t>The electronic case-management system, developed in cooperation with international partners and expected to be finalized soon, bringing the Court into the digital era.</w:t>
      </w:r>
    </w:p>
    <w:p w14:paraId="2117FA9A" w14:textId="4B11AB13" w:rsidR="006F2DA4" w:rsidRPr="006F2DA4" w:rsidRDefault="006F2DA4" w:rsidP="006F2DA4">
      <w:pPr>
        <w:rPr>
          <w:rFonts w:ascii="Times New Roman" w:hAnsi="Times New Roman" w:cs="Times New Roman"/>
        </w:rPr>
      </w:pPr>
    </w:p>
    <w:p w14:paraId="2FF5A363" w14:textId="0720FCDC" w:rsidR="006F2DA4" w:rsidRPr="006F2DA4" w:rsidRDefault="006F2DA4" w:rsidP="006F2DA4">
      <w:pPr>
        <w:rPr>
          <w:rFonts w:ascii="Times New Roman" w:hAnsi="Times New Roman" w:cs="Times New Roman"/>
          <w:b/>
          <w:bCs/>
        </w:rPr>
      </w:pPr>
      <w:r w:rsidRPr="006F2DA4">
        <w:rPr>
          <w:rFonts w:ascii="Times New Roman" w:hAnsi="Times New Roman" w:cs="Times New Roman"/>
          <w:b/>
          <w:bCs/>
        </w:rPr>
        <w:t>I</w:t>
      </w:r>
      <w:r w:rsidR="00104077">
        <w:rPr>
          <w:rFonts w:ascii="Times New Roman" w:hAnsi="Times New Roman" w:cs="Times New Roman"/>
          <w:b/>
          <w:bCs/>
        </w:rPr>
        <w:t>II</w:t>
      </w:r>
      <w:r w:rsidRPr="006F2DA4">
        <w:rPr>
          <w:rFonts w:ascii="Times New Roman" w:hAnsi="Times New Roman" w:cs="Times New Roman"/>
          <w:b/>
          <w:bCs/>
        </w:rPr>
        <w:t>. Important Regulatory Acts</w:t>
      </w:r>
    </w:p>
    <w:p w14:paraId="7D89E4B4" w14:textId="77777777" w:rsidR="006F2DA4" w:rsidRPr="006F2DA4" w:rsidRDefault="006F2DA4" w:rsidP="006F2DA4">
      <w:pPr>
        <w:rPr>
          <w:rFonts w:ascii="Times New Roman" w:hAnsi="Times New Roman" w:cs="Times New Roman"/>
        </w:rPr>
      </w:pPr>
      <w:r w:rsidRPr="006F2DA4">
        <w:rPr>
          <w:rFonts w:ascii="Times New Roman" w:hAnsi="Times New Roman" w:cs="Times New Roman"/>
        </w:rPr>
        <w:t>During this period, the panel of judges adopted a number of important internal acts, including:</w:t>
      </w:r>
    </w:p>
    <w:p w14:paraId="2E17C221" w14:textId="77777777" w:rsidR="006F2DA4" w:rsidRPr="006F2DA4" w:rsidRDefault="006F2DA4" w:rsidP="006F2DA4">
      <w:pPr>
        <w:numPr>
          <w:ilvl w:val="0"/>
          <w:numId w:val="4"/>
        </w:numPr>
        <w:rPr>
          <w:rFonts w:ascii="Times New Roman" w:hAnsi="Times New Roman" w:cs="Times New Roman"/>
        </w:rPr>
      </w:pPr>
      <w:r w:rsidRPr="006F2DA4">
        <w:rPr>
          <w:rFonts w:ascii="Times New Roman" w:hAnsi="Times New Roman" w:cs="Times New Roman"/>
        </w:rPr>
        <w:t>Regulation on the Organization and Functioning of the Administration of the Constitutional Court.</w:t>
      </w:r>
    </w:p>
    <w:p w14:paraId="607F45D3" w14:textId="77777777" w:rsidR="006F2DA4" w:rsidRPr="006F2DA4" w:rsidRDefault="006F2DA4" w:rsidP="006F2DA4">
      <w:pPr>
        <w:numPr>
          <w:ilvl w:val="0"/>
          <w:numId w:val="4"/>
        </w:numPr>
        <w:rPr>
          <w:rFonts w:ascii="Times New Roman" w:hAnsi="Times New Roman" w:cs="Times New Roman"/>
        </w:rPr>
      </w:pPr>
      <w:r w:rsidRPr="006F2DA4">
        <w:rPr>
          <w:rFonts w:ascii="Times New Roman" w:hAnsi="Times New Roman" w:cs="Times New Roman"/>
        </w:rPr>
        <w:t>Regulation on Media Communication.</w:t>
      </w:r>
    </w:p>
    <w:p w14:paraId="4D7BE454" w14:textId="7D1D63A2" w:rsidR="006F2DA4" w:rsidRPr="006F2DA4" w:rsidRDefault="006F2DA4" w:rsidP="006F2DA4">
      <w:pPr>
        <w:numPr>
          <w:ilvl w:val="0"/>
          <w:numId w:val="4"/>
        </w:numPr>
        <w:rPr>
          <w:rFonts w:ascii="Times New Roman" w:hAnsi="Times New Roman" w:cs="Times New Roman"/>
        </w:rPr>
      </w:pPr>
      <w:r w:rsidRPr="006F2DA4">
        <w:rPr>
          <w:rFonts w:ascii="Times New Roman" w:hAnsi="Times New Roman" w:cs="Times New Roman"/>
        </w:rPr>
        <w:lastRenderedPageBreak/>
        <w:t>Code of Ethics of the Administration of the Constitutional Court.</w:t>
      </w:r>
    </w:p>
    <w:p w14:paraId="24F338BE" w14:textId="2714B6C1" w:rsidR="006F2DA4" w:rsidRPr="006F2DA4" w:rsidRDefault="006F2DA4" w:rsidP="006F2DA4">
      <w:pPr>
        <w:rPr>
          <w:rFonts w:ascii="Times New Roman" w:hAnsi="Times New Roman" w:cs="Times New Roman"/>
        </w:rPr>
      </w:pPr>
      <w:r w:rsidRPr="006F2DA4">
        <w:rPr>
          <w:rFonts w:ascii="Times New Roman" w:hAnsi="Times New Roman" w:cs="Times New Roman"/>
        </w:rPr>
        <w:t xml:space="preserve">None of the above would have been possible without the support of my fellow judges, whom I sincerely thank for supporting my vision and for their tireless work in achieving the set objectives. Likewise, I express my highest appreciation for the professional support of the </w:t>
      </w:r>
      <w:r>
        <w:rPr>
          <w:rFonts w:ascii="Times New Roman" w:hAnsi="Times New Roman" w:cs="Times New Roman"/>
        </w:rPr>
        <w:t xml:space="preserve">legal advisors and </w:t>
      </w:r>
      <w:r w:rsidRPr="006F2DA4">
        <w:rPr>
          <w:rFonts w:ascii="Times New Roman" w:hAnsi="Times New Roman" w:cs="Times New Roman"/>
        </w:rPr>
        <w:t>Court’s administration, as well as for that of all institutional and international partners who have cooperated with the Court throughout this period.</w:t>
      </w:r>
    </w:p>
    <w:p w14:paraId="21D49CC7" w14:textId="77777777" w:rsidR="006F2DA4" w:rsidRPr="006F2DA4" w:rsidRDefault="006F2DA4" w:rsidP="006F2DA4">
      <w:pPr>
        <w:rPr>
          <w:rFonts w:ascii="Times New Roman" w:hAnsi="Times New Roman" w:cs="Times New Roman"/>
        </w:rPr>
      </w:pPr>
      <w:r w:rsidRPr="006F2DA4">
        <w:rPr>
          <w:rFonts w:ascii="Times New Roman" w:hAnsi="Times New Roman" w:cs="Times New Roman"/>
        </w:rPr>
        <w:t>In conclusion, I express my conviction that the achievements highlighted above will continue to serve as a strong foundation for the further development of the Constitutional Court and for strengthening its role as the highest institution guaranteeing the Constitution of the Republic of Albania.</w:t>
      </w:r>
    </w:p>
    <w:p w14:paraId="21DDDFCC" w14:textId="77777777" w:rsidR="00AA22F1" w:rsidRPr="006F2DA4" w:rsidRDefault="00AA22F1">
      <w:pPr>
        <w:rPr>
          <w:rFonts w:ascii="Times New Roman" w:hAnsi="Times New Roman" w:cs="Times New Roman"/>
        </w:rPr>
      </w:pPr>
    </w:p>
    <w:sectPr w:rsidR="00AA22F1" w:rsidRPr="006F2D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64FD1"/>
    <w:multiLevelType w:val="multilevel"/>
    <w:tmpl w:val="771A8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336A4D"/>
    <w:multiLevelType w:val="multilevel"/>
    <w:tmpl w:val="A48E4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1A04DE"/>
    <w:multiLevelType w:val="multilevel"/>
    <w:tmpl w:val="CC1C0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5A5BFB"/>
    <w:multiLevelType w:val="multilevel"/>
    <w:tmpl w:val="FD86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DA4"/>
    <w:rsid w:val="0002134B"/>
    <w:rsid w:val="00104077"/>
    <w:rsid w:val="00146A25"/>
    <w:rsid w:val="00590C18"/>
    <w:rsid w:val="006F2DA4"/>
    <w:rsid w:val="00792680"/>
    <w:rsid w:val="007A1CCC"/>
    <w:rsid w:val="00AA22F1"/>
    <w:rsid w:val="00C82162"/>
    <w:rsid w:val="00F504B7"/>
    <w:rsid w:val="00F817B1"/>
    <w:rsid w:val="00F9074D"/>
    <w:rsid w:val="00FD2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BD34A"/>
  <w15:chartTrackingRefBased/>
  <w15:docId w15:val="{2F0E584A-A4D1-4A05-9AF9-BD38654A7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D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2D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D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D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D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D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D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D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D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D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2D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D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D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D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D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D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D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DA4"/>
    <w:rPr>
      <w:rFonts w:eastAsiaTheme="majorEastAsia" w:cstheme="majorBidi"/>
      <w:color w:val="272727" w:themeColor="text1" w:themeTint="D8"/>
    </w:rPr>
  </w:style>
  <w:style w:type="paragraph" w:styleId="Title">
    <w:name w:val="Title"/>
    <w:basedOn w:val="Normal"/>
    <w:next w:val="Normal"/>
    <w:link w:val="TitleChar"/>
    <w:uiPriority w:val="10"/>
    <w:qFormat/>
    <w:rsid w:val="006F2D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D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D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D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DA4"/>
    <w:pPr>
      <w:spacing w:before="160"/>
      <w:jc w:val="center"/>
    </w:pPr>
    <w:rPr>
      <w:i/>
      <w:iCs/>
      <w:color w:val="404040" w:themeColor="text1" w:themeTint="BF"/>
    </w:rPr>
  </w:style>
  <w:style w:type="character" w:customStyle="1" w:styleId="QuoteChar">
    <w:name w:val="Quote Char"/>
    <w:basedOn w:val="DefaultParagraphFont"/>
    <w:link w:val="Quote"/>
    <w:uiPriority w:val="29"/>
    <w:rsid w:val="006F2DA4"/>
    <w:rPr>
      <w:i/>
      <w:iCs/>
      <w:color w:val="404040" w:themeColor="text1" w:themeTint="BF"/>
    </w:rPr>
  </w:style>
  <w:style w:type="paragraph" w:styleId="ListParagraph">
    <w:name w:val="List Paragraph"/>
    <w:basedOn w:val="Normal"/>
    <w:uiPriority w:val="34"/>
    <w:qFormat/>
    <w:rsid w:val="006F2DA4"/>
    <w:pPr>
      <w:ind w:left="720"/>
      <w:contextualSpacing/>
    </w:pPr>
  </w:style>
  <w:style w:type="character" w:styleId="IntenseEmphasis">
    <w:name w:val="Intense Emphasis"/>
    <w:basedOn w:val="DefaultParagraphFont"/>
    <w:uiPriority w:val="21"/>
    <w:qFormat/>
    <w:rsid w:val="006F2DA4"/>
    <w:rPr>
      <w:i/>
      <w:iCs/>
      <w:color w:val="0F4761" w:themeColor="accent1" w:themeShade="BF"/>
    </w:rPr>
  </w:style>
  <w:style w:type="paragraph" w:styleId="IntenseQuote">
    <w:name w:val="Intense Quote"/>
    <w:basedOn w:val="Normal"/>
    <w:next w:val="Normal"/>
    <w:link w:val="IntenseQuoteChar"/>
    <w:uiPriority w:val="30"/>
    <w:qFormat/>
    <w:rsid w:val="006F2D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DA4"/>
    <w:rPr>
      <w:i/>
      <w:iCs/>
      <w:color w:val="0F4761" w:themeColor="accent1" w:themeShade="BF"/>
    </w:rPr>
  </w:style>
  <w:style w:type="character" w:styleId="IntenseReference">
    <w:name w:val="Intense Reference"/>
    <w:basedOn w:val="DefaultParagraphFont"/>
    <w:uiPriority w:val="32"/>
    <w:qFormat/>
    <w:rsid w:val="006F2D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Holta Zacaj</dc:creator>
  <cp:keywords/>
  <dc:description/>
  <cp:lastModifiedBy>Alma Como</cp:lastModifiedBy>
  <cp:revision>5</cp:revision>
  <cp:lastPrinted>2025-11-25T11:52:00Z</cp:lastPrinted>
  <dcterms:created xsi:type="dcterms:W3CDTF">2025-11-25T12:00:00Z</dcterms:created>
  <dcterms:modified xsi:type="dcterms:W3CDTF">2025-11-25T12:01:00Z</dcterms:modified>
</cp:coreProperties>
</file>